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9F631" w14:textId="77777777" w:rsidR="00F42907" w:rsidRPr="00F42907" w:rsidRDefault="00F42907" w:rsidP="00F42907">
      <w:pPr>
        <w:pBdr>
          <w:top w:val="single" w:sz="4" w:space="0" w:color="auto"/>
          <w:left w:val="single" w:sz="4" w:space="4" w:color="auto"/>
          <w:bottom w:val="single" w:sz="4" w:space="1" w:color="auto"/>
          <w:right w:val="single" w:sz="4" w:space="4" w:color="auto"/>
        </w:pBdr>
        <w:shd w:val="clear" w:color="auto" w:fill="F2F2F2"/>
        <w:tabs>
          <w:tab w:val="left" w:pos="270"/>
        </w:tabs>
        <w:ind w:left="180" w:right="308"/>
        <w:jc w:val="center"/>
        <w:rPr>
          <w:rFonts w:ascii="Times New Roman" w:hAnsi="Times New Roman" w:cs="Times New Roman"/>
          <w:b/>
          <w:bCs/>
          <w:sz w:val="28"/>
          <w:szCs w:val="28"/>
        </w:rPr>
      </w:pPr>
      <w:bookmarkStart w:id="0" w:name="_Hlk36043064"/>
      <w:r w:rsidRPr="00C04780">
        <w:rPr>
          <w:rFonts w:ascii="Times New Roman" w:hAnsi="Times New Roman" w:cs="Times New Roman"/>
          <w:b/>
          <w:bCs/>
          <w:sz w:val="28"/>
          <w:szCs w:val="28"/>
        </w:rPr>
        <w:t xml:space="preserve">Phase One: Economic </w:t>
      </w:r>
      <w:r>
        <w:rPr>
          <w:rFonts w:ascii="Times New Roman" w:hAnsi="Times New Roman" w:cs="Times New Roman"/>
          <w:b/>
          <w:bCs/>
          <w:sz w:val="28"/>
          <w:szCs w:val="28"/>
        </w:rPr>
        <w:t xml:space="preserve">Relief </w:t>
      </w:r>
      <w:r w:rsidRPr="00C04780">
        <w:rPr>
          <w:rFonts w:ascii="Times New Roman" w:hAnsi="Times New Roman" w:cs="Times New Roman"/>
          <w:b/>
          <w:bCs/>
          <w:sz w:val="28"/>
          <w:szCs w:val="28"/>
        </w:rPr>
        <w:t>Measures</w:t>
      </w:r>
    </w:p>
    <w:p w14:paraId="54266FDF" w14:textId="77777777" w:rsidR="00F42907" w:rsidRPr="00C04780" w:rsidRDefault="00F42907" w:rsidP="00F42907">
      <w:pPr>
        <w:tabs>
          <w:tab w:val="left" w:pos="270"/>
        </w:tabs>
        <w:ind w:left="180" w:right="308" w:firstLine="720"/>
        <w:jc w:val="both"/>
        <w:rPr>
          <w:rFonts w:ascii="Times New Roman" w:hAnsi="Times New Roman" w:cs="Times New Roman"/>
          <w:sz w:val="28"/>
          <w:szCs w:val="28"/>
        </w:rPr>
      </w:pPr>
      <w:r w:rsidRPr="00C04780">
        <w:rPr>
          <w:rFonts w:ascii="Times New Roman" w:hAnsi="Times New Roman" w:cs="Times New Roman"/>
          <w:sz w:val="28"/>
          <w:szCs w:val="28"/>
        </w:rPr>
        <w:t xml:space="preserve">To alleviate the economic impact of the COVID-19 outbreak, the Royal Thai Government has approved Phase One of a series of financial and fiscal relief measures. These measures are largely aimed at small and medium-sized businesses which would be most affected by the economic </w:t>
      </w:r>
      <w:r>
        <w:rPr>
          <w:rFonts w:ascii="Times New Roman" w:hAnsi="Times New Roman" w:cs="Times New Roman"/>
          <w:sz w:val="28"/>
          <w:szCs w:val="28"/>
        </w:rPr>
        <w:t>impacts</w:t>
      </w:r>
      <w:r w:rsidRPr="00C04780">
        <w:rPr>
          <w:rFonts w:ascii="Times New Roman" w:hAnsi="Times New Roman" w:cs="Times New Roman"/>
          <w:sz w:val="28"/>
          <w:szCs w:val="28"/>
        </w:rPr>
        <w:t xml:space="preserve"> of the outbreak. The measures approved by the Thai cabinet on March </w:t>
      </w:r>
      <w:r>
        <w:rPr>
          <w:rFonts w:ascii="Times New Roman" w:hAnsi="Times New Roman" w:cstheme="minorBidi"/>
          <w:sz w:val="28"/>
          <w:szCs w:val="28"/>
        </w:rPr>
        <w:t>10</w:t>
      </w:r>
      <w:r w:rsidRPr="00C04780">
        <w:rPr>
          <w:rFonts w:ascii="Times New Roman" w:hAnsi="Times New Roman" w:cs="Times New Roman"/>
          <w:sz w:val="28"/>
          <w:szCs w:val="28"/>
        </w:rPr>
        <w:t>, 2020 are as follows:</w:t>
      </w:r>
    </w:p>
    <w:p w14:paraId="619E8F15" w14:textId="77777777" w:rsidR="00F42907" w:rsidRPr="00C04780" w:rsidRDefault="00F42907" w:rsidP="00F42907">
      <w:pPr>
        <w:tabs>
          <w:tab w:val="left" w:pos="270"/>
        </w:tabs>
        <w:ind w:left="180" w:right="308"/>
        <w:jc w:val="both"/>
        <w:rPr>
          <w:rFonts w:ascii="Times New Roman" w:hAnsi="Times New Roman" w:cs="Times New Roman"/>
          <w:b/>
          <w:bCs/>
          <w:sz w:val="28"/>
          <w:szCs w:val="28"/>
          <w:u w:val="single"/>
          <w:rtl/>
          <w:cs/>
        </w:rPr>
      </w:pPr>
      <w:r w:rsidRPr="00C04780">
        <w:rPr>
          <w:rFonts w:ascii="Times New Roman" w:hAnsi="Times New Roman" w:cs="Times New Roman"/>
          <w:sz w:val="28"/>
          <w:szCs w:val="28"/>
        </w:rPr>
        <w:t xml:space="preserve">1. </w:t>
      </w:r>
      <w:r w:rsidRPr="00C04780">
        <w:rPr>
          <w:rFonts w:ascii="Times New Roman" w:hAnsi="Times New Roman" w:cs="Times New Roman"/>
          <w:b/>
          <w:bCs/>
          <w:sz w:val="28"/>
          <w:szCs w:val="28"/>
          <w:u w:val="single"/>
        </w:rPr>
        <w:t>Monetary Measures</w:t>
      </w:r>
    </w:p>
    <w:p w14:paraId="1AE40700" w14:textId="77777777" w:rsidR="00F42907" w:rsidRPr="00C04780" w:rsidRDefault="00F42907" w:rsidP="00F42907">
      <w:pPr>
        <w:tabs>
          <w:tab w:val="left" w:pos="270"/>
        </w:tabs>
        <w:ind w:left="180" w:right="308" w:firstLine="720"/>
        <w:jc w:val="both"/>
        <w:rPr>
          <w:rFonts w:ascii="Times New Roman" w:hAnsi="Times New Roman" w:cs="Times New Roman"/>
          <w:sz w:val="28"/>
          <w:szCs w:val="28"/>
        </w:rPr>
      </w:pPr>
      <w:r w:rsidRPr="00C04780">
        <w:rPr>
          <w:rFonts w:ascii="Times New Roman" w:hAnsi="Times New Roman" w:cs="Times New Roman"/>
          <w:sz w:val="28"/>
          <w:szCs w:val="28"/>
        </w:rPr>
        <w:t>1.1 Low interest</w:t>
      </w:r>
      <w:r>
        <w:rPr>
          <w:rFonts w:ascii="Times New Roman" w:hAnsi="Times New Roman" w:cs="Times New Roman"/>
          <w:sz w:val="28"/>
          <w:szCs w:val="28"/>
        </w:rPr>
        <w:t xml:space="preserve"> soft loans </w:t>
      </w:r>
      <w:r w:rsidRPr="00C04780">
        <w:rPr>
          <w:rFonts w:ascii="Times New Roman" w:hAnsi="Times New Roman" w:cs="Times New Roman"/>
          <w:sz w:val="28"/>
          <w:szCs w:val="28"/>
        </w:rPr>
        <w:t>at 2% interest for a period of 2 years, not ov</w:t>
      </w:r>
      <w:r>
        <w:rPr>
          <w:rFonts w:ascii="Times New Roman" w:hAnsi="Times New Roman" w:cs="Times New Roman"/>
          <w:sz w:val="28"/>
          <w:szCs w:val="28"/>
        </w:rPr>
        <w:t>er 20 million Baht per customer</w:t>
      </w:r>
      <w:r w:rsidRPr="00C04780">
        <w:rPr>
          <w:rFonts w:ascii="Times New Roman" w:hAnsi="Times New Roman" w:cs="Times New Roman"/>
          <w:sz w:val="28"/>
          <w:szCs w:val="28"/>
        </w:rPr>
        <w:t xml:space="preserve"> in the total amount of 150 billion Baht.</w:t>
      </w:r>
    </w:p>
    <w:p w14:paraId="38ED53D5" w14:textId="71C6D0DD" w:rsidR="00F42907" w:rsidRPr="00F12390" w:rsidRDefault="00F42907" w:rsidP="00F42907">
      <w:pPr>
        <w:tabs>
          <w:tab w:val="left" w:pos="270"/>
        </w:tabs>
        <w:ind w:left="180" w:right="308" w:firstLine="720"/>
        <w:jc w:val="both"/>
        <w:rPr>
          <w:rFonts w:ascii="Times New Roman" w:hAnsi="Times New Roman" w:cstheme="minorBidi"/>
          <w:sz w:val="28"/>
          <w:szCs w:val="35"/>
          <w:cs/>
          <w:lang w:bidi="th-TH"/>
        </w:rPr>
      </w:pPr>
      <w:r w:rsidRPr="00095F7D">
        <w:rPr>
          <w:rFonts w:ascii="Times New Roman" w:hAnsi="Times New Roman" w:cs="Times New Roman"/>
          <w:sz w:val="28"/>
          <w:szCs w:val="28"/>
        </w:rPr>
        <w:t>1.2 Pause in principal payments</w:t>
      </w:r>
      <w:r w:rsidR="00F12390" w:rsidRPr="00095F7D">
        <w:rPr>
          <w:rFonts w:ascii="Times New Roman" w:hAnsi="Times New Roman" w:cs="Angsana New"/>
          <w:sz w:val="28"/>
          <w:szCs w:val="35"/>
          <w:lang w:bidi="th-TH"/>
        </w:rPr>
        <w:t>, reduce interest, and extend repayment period for the debtors affected by COVID-19 which will be operated by state-controlled Specialized Financial Institutions (SFIs)</w:t>
      </w:r>
      <w:r w:rsidRPr="00095F7D">
        <w:rPr>
          <w:rFonts w:ascii="Times New Roman" w:hAnsi="Times New Roman" w:cs="Times New Roman"/>
          <w:sz w:val="28"/>
          <w:szCs w:val="28"/>
        </w:rPr>
        <w:t xml:space="preserve"> </w:t>
      </w:r>
      <w:r w:rsidR="00F12390" w:rsidRPr="00095F7D">
        <w:rPr>
          <w:rFonts w:ascii="Times New Roman" w:hAnsi="Times New Roman" w:cs="Times New Roman"/>
          <w:sz w:val="28"/>
          <w:szCs w:val="28"/>
        </w:rPr>
        <w:t xml:space="preserve">such as </w:t>
      </w:r>
      <w:r w:rsidRPr="00095F7D">
        <w:rPr>
          <w:rFonts w:ascii="Times New Roman" w:hAnsi="Times New Roman" w:cs="Times New Roman"/>
          <w:sz w:val="28"/>
          <w:szCs w:val="28"/>
        </w:rPr>
        <w:t>Government Saving</w:t>
      </w:r>
      <w:r w:rsidR="00F12390" w:rsidRPr="00095F7D">
        <w:rPr>
          <w:rFonts w:ascii="Times New Roman" w:hAnsi="Times New Roman" w:cs="Times New Roman"/>
          <w:sz w:val="28"/>
          <w:szCs w:val="28"/>
        </w:rPr>
        <w:t>s</w:t>
      </w:r>
      <w:r w:rsidRPr="00095F7D">
        <w:rPr>
          <w:rFonts w:ascii="Times New Roman" w:hAnsi="Times New Roman" w:cs="Times New Roman"/>
          <w:sz w:val="28"/>
          <w:szCs w:val="28"/>
        </w:rPr>
        <w:t xml:space="preserve"> Bank and Government Housing Bank</w:t>
      </w:r>
      <w:r w:rsidR="00F12390" w:rsidRPr="00095F7D">
        <w:rPr>
          <w:rFonts w:ascii="Times New Roman" w:hAnsi="Times New Roman" w:cs="Times New Roman"/>
          <w:sz w:val="28"/>
          <w:szCs w:val="28"/>
        </w:rPr>
        <w:t>.</w:t>
      </w:r>
      <w:r w:rsidR="00F12390">
        <w:rPr>
          <w:rFonts w:ascii="Times New Roman" w:hAnsi="Times New Roman" w:cs="Times New Roman"/>
          <w:sz w:val="28"/>
          <w:szCs w:val="28"/>
        </w:rPr>
        <w:t xml:space="preserve"> </w:t>
      </w:r>
    </w:p>
    <w:p w14:paraId="03B5DB23" w14:textId="77777777" w:rsidR="00F42907" w:rsidRPr="00C04780" w:rsidRDefault="00F42907" w:rsidP="00F42907">
      <w:pPr>
        <w:tabs>
          <w:tab w:val="left" w:pos="270"/>
        </w:tabs>
        <w:ind w:left="180" w:right="308" w:firstLine="720"/>
        <w:jc w:val="both"/>
        <w:rPr>
          <w:rFonts w:ascii="Times New Roman" w:hAnsi="Times New Roman" w:cs="Times New Roman"/>
          <w:sz w:val="28"/>
          <w:szCs w:val="28"/>
        </w:rPr>
      </w:pPr>
      <w:r w:rsidRPr="00C04780">
        <w:rPr>
          <w:rFonts w:ascii="Times New Roman" w:hAnsi="Times New Roman" w:cs="Times New Roman"/>
          <w:sz w:val="28"/>
          <w:szCs w:val="28"/>
        </w:rPr>
        <w:t>1.3 The Bank of Thailand has eased the rules for granting commercial bank loans.</w:t>
      </w:r>
    </w:p>
    <w:p w14:paraId="72A48F80" w14:textId="77777777" w:rsidR="00F42907" w:rsidRPr="00C04780" w:rsidRDefault="00F42907" w:rsidP="00F42907">
      <w:pPr>
        <w:tabs>
          <w:tab w:val="left" w:pos="270"/>
          <w:tab w:val="left" w:pos="540"/>
        </w:tabs>
        <w:ind w:left="180" w:right="308" w:firstLine="720"/>
        <w:jc w:val="both"/>
        <w:rPr>
          <w:rFonts w:ascii="Times New Roman" w:hAnsi="Times New Roman" w:cs="Times New Roman"/>
          <w:sz w:val="28"/>
          <w:szCs w:val="28"/>
        </w:rPr>
      </w:pPr>
      <w:r w:rsidRPr="00C04780">
        <w:rPr>
          <w:rFonts w:ascii="Times New Roman" w:hAnsi="Times New Roman" w:cs="Times New Roman"/>
          <w:sz w:val="28"/>
          <w:szCs w:val="28"/>
        </w:rPr>
        <w:t>1.4 The Social Security F</w:t>
      </w:r>
      <w:r>
        <w:rPr>
          <w:rFonts w:ascii="Times New Roman" w:hAnsi="Times New Roman" w:cs="Times New Roman"/>
          <w:sz w:val="28"/>
          <w:szCs w:val="28"/>
        </w:rPr>
        <w:t>und (SSF) will provide a credit line at 3%, for a period of 3 years</w:t>
      </w:r>
      <w:r w:rsidRPr="00C04780">
        <w:rPr>
          <w:rFonts w:ascii="Times New Roman" w:hAnsi="Times New Roman" w:cs="Times New Roman"/>
          <w:sz w:val="28"/>
          <w:szCs w:val="28"/>
        </w:rPr>
        <w:t xml:space="preserve"> in the </w:t>
      </w:r>
      <w:r>
        <w:rPr>
          <w:rFonts w:ascii="Times New Roman" w:hAnsi="Times New Roman" w:cs="Times New Roman"/>
          <w:sz w:val="28"/>
          <w:szCs w:val="28"/>
        </w:rPr>
        <w:t xml:space="preserve">total </w:t>
      </w:r>
      <w:r w:rsidRPr="00C04780">
        <w:rPr>
          <w:rFonts w:ascii="Times New Roman" w:hAnsi="Times New Roman" w:cs="Times New Roman"/>
          <w:sz w:val="28"/>
          <w:szCs w:val="28"/>
        </w:rPr>
        <w:t>amount of 30 billion Baht.</w:t>
      </w:r>
    </w:p>
    <w:p w14:paraId="2E220DC6" w14:textId="77777777" w:rsidR="00F42907" w:rsidRPr="00C04780" w:rsidRDefault="00F42907" w:rsidP="00F42907">
      <w:pPr>
        <w:tabs>
          <w:tab w:val="left" w:pos="270"/>
        </w:tabs>
        <w:ind w:left="180" w:right="308"/>
        <w:jc w:val="both"/>
        <w:rPr>
          <w:rFonts w:ascii="Times New Roman" w:hAnsi="Times New Roman" w:cs="Times New Roman"/>
          <w:b/>
          <w:bCs/>
          <w:sz w:val="28"/>
          <w:szCs w:val="28"/>
          <w:u w:val="single"/>
        </w:rPr>
      </w:pPr>
      <w:r w:rsidRPr="00C04780">
        <w:rPr>
          <w:rFonts w:ascii="Times New Roman" w:hAnsi="Times New Roman" w:cs="Times New Roman"/>
          <w:sz w:val="28"/>
          <w:szCs w:val="28"/>
        </w:rPr>
        <w:t>2.</w:t>
      </w:r>
      <w:r w:rsidRPr="00C04780">
        <w:rPr>
          <w:rFonts w:ascii="Times New Roman" w:hAnsi="Times New Roman" w:cs="Times New Roman"/>
          <w:b/>
          <w:bCs/>
          <w:sz w:val="28"/>
          <w:szCs w:val="28"/>
        </w:rPr>
        <w:t xml:space="preserve"> </w:t>
      </w:r>
      <w:r w:rsidRPr="00C04780">
        <w:rPr>
          <w:rFonts w:ascii="Times New Roman" w:hAnsi="Times New Roman" w:cs="Times New Roman"/>
          <w:b/>
          <w:bCs/>
          <w:sz w:val="28"/>
          <w:szCs w:val="28"/>
          <w:u w:val="single"/>
        </w:rPr>
        <w:t>Fiscal Measures</w:t>
      </w:r>
    </w:p>
    <w:p w14:paraId="6B772A89" w14:textId="77777777" w:rsidR="00F42907" w:rsidRPr="00C04780" w:rsidRDefault="00F42907" w:rsidP="00F42907">
      <w:pPr>
        <w:tabs>
          <w:tab w:val="left" w:pos="270"/>
        </w:tabs>
        <w:ind w:left="180" w:right="308" w:firstLine="720"/>
        <w:jc w:val="both"/>
        <w:rPr>
          <w:rFonts w:ascii="Times New Roman" w:hAnsi="Times New Roman" w:cs="Times New Roman"/>
          <w:sz w:val="28"/>
          <w:szCs w:val="28"/>
        </w:rPr>
      </w:pPr>
      <w:r w:rsidRPr="00C04780">
        <w:rPr>
          <w:rFonts w:ascii="Times New Roman" w:hAnsi="Times New Roman" w:cs="Times New Roman"/>
          <w:sz w:val="28"/>
          <w:szCs w:val="28"/>
        </w:rPr>
        <w:t>2.1 Reducing withholding tax from 3% to 1.5% from April to September 2020.</w:t>
      </w:r>
    </w:p>
    <w:p w14:paraId="55A7C028" w14:textId="77777777" w:rsidR="00F42907" w:rsidRPr="00C04780" w:rsidRDefault="00F42907" w:rsidP="00F42907">
      <w:pPr>
        <w:tabs>
          <w:tab w:val="left" w:pos="270"/>
        </w:tabs>
        <w:ind w:left="180" w:right="308" w:firstLine="720"/>
        <w:jc w:val="both"/>
        <w:rPr>
          <w:rFonts w:ascii="Times New Roman" w:hAnsi="Times New Roman" w:cs="Times New Roman"/>
          <w:sz w:val="28"/>
          <w:szCs w:val="28"/>
        </w:rPr>
      </w:pPr>
      <w:r w:rsidRPr="00C04780">
        <w:rPr>
          <w:rFonts w:ascii="Times New Roman" w:hAnsi="Times New Roman" w:cs="Times New Roman"/>
          <w:sz w:val="28"/>
          <w:szCs w:val="28"/>
        </w:rPr>
        <w:t xml:space="preserve">2.2 Small and Medium Enterprises (SMEs), participating in low-interest credit measures </w:t>
      </w:r>
      <w:r>
        <w:rPr>
          <w:rFonts w:ascii="Times New Roman" w:hAnsi="Times New Roman" w:cs="Times New Roman"/>
          <w:sz w:val="28"/>
          <w:szCs w:val="28"/>
        </w:rPr>
        <w:t xml:space="preserve">and </w:t>
      </w:r>
      <w:r w:rsidRPr="00C04780">
        <w:rPr>
          <w:rFonts w:ascii="Times New Roman" w:hAnsi="Times New Roman" w:cs="Times New Roman"/>
          <w:sz w:val="28"/>
          <w:szCs w:val="28"/>
        </w:rPr>
        <w:t>having a single account, can receive 1.5 times deduction for interest expenses that occur between 1 April and 31 December, 2020.</w:t>
      </w:r>
    </w:p>
    <w:p w14:paraId="1F839813" w14:textId="428927FD" w:rsidR="00F42907" w:rsidRPr="00817E15" w:rsidRDefault="00F42907" w:rsidP="00F42907">
      <w:pPr>
        <w:tabs>
          <w:tab w:val="left" w:pos="270"/>
        </w:tabs>
        <w:ind w:left="180" w:right="308" w:firstLine="720"/>
        <w:jc w:val="both"/>
        <w:rPr>
          <w:rFonts w:ascii="Times New Roman" w:hAnsi="Times New Roman" w:cs="Angsana New"/>
          <w:sz w:val="28"/>
          <w:szCs w:val="35"/>
          <w:cs/>
          <w:lang w:bidi="th-TH"/>
        </w:rPr>
      </w:pPr>
      <w:r w:rsidRPr="00C04780">
        <w:rPr>
          <w:rFonts w:ascii="Times New Roman" w:hAnsi="Times New Roman" w:cs="Times New Roman"/>
          <w:sz w:val="28"/>
          <w:szCs w:val="28"/>
        </w:rPr>
        <w:t xml:space="preserve">2.3 </w:t>
      </w:r>
      <w:r w:rsidR="00095F7D" w:rsidRPr="00095F7D">
        <w:rPr>
          <w:rFonts w:ascii="Times New Roman" w:hAnsi="Times New Roman" w:cs="Angsana New"/>
          <w:sz w:val="28"/>
          <w:szCs w:val="35"/>
          <w:lang w:bidi="th-TH"/>
        </w:rPr>
        <w:t>SMEs can receive tax deduction of</w:t>
      </w:r>
      <w:r w:rsidRPr="00095F7D">
        <w:rPr>
          <w:rFonts w:ascii="Times New Roman" w:hAnsi="Times New Roman" w:cs="Times New Roman"/>
          <w:sz w:val="28"/>
          <w:szCs w:val="28"/>
        </w:rPr>
        <w:t xml:space="preserve"> up to 3 times for </w:t>
      </w:r>
      <w:r w:rsidR="00095F7D" w:rsidRPr="00095F7D">
        <w:rPr>
          <w:rFonts w:ascii="Times New Roman" w:hAnsi="Times New Roman" w:cs="Times New Roman"/>
          <w:sz w:val="28"/>
          <w:szCs w:val="28"/>
        </w:rPr>
        <w:t>salary expenses</w:t>
      </w:r>
      <w:r w:rsidRPr="00095F7D">
        <w:rPr>
          <w:rFonts w:ascii="Times New Roman" w:hAnsi="Times New Roman" w:cs="Times New Roman"/>
          <w:sz w:val="28"/>
          <w:szCs w:val="28"/>
        </w:rPr>
        <w:t>, for employees who are insured under the law on the SSF and receive wages of not more than 15,000 Baht per person per month, paid from April to July 2020.</w:t>
      </w:r>
      <w:r w:rsidRPr="00C04780">
        <w:rPr>
          <w:rFonts w:ascii="Times New Roman" w:hAnsi="Times New Roman" w:cs="Times New Roman"/>
          <w:sz w:val="28"/>
          <w:szCs w:val="28"/>
        </w:rPr>
        <w:t xml:space="preserve"> </w:t>
      </w:r>
    </w:p>
    <w:p w14:paraId="166DC6B4" w14:textId="77777777" w:rsidR="00F42907" w:rsidRDefault="00F42907" w:rsidP="00F42907">
      <w:pPr>
        <w:tabs>
          <w:tab w:val="left" w:pos="270"/>
        </w:tabs>
        <w:ind w:left="180" w:right="308" w:firstLine="720"/>
        <w:jc w:val="both"/>
        <w:rPr>
          <w:rFonts w:ascii="Times New Roman" w:hAnsi="Times New Roman" w:cs="Times New Roman"/>
          <w:sz w:val="28"/>
          <w:szCs w:val="28"/>
        </w:rPr>
      </w:pPr>
      <w:r w:rsidRPr="00C04780">
        <w:rPr>
          <w:rFonts w:ascii="Times New Roman" w:hAnsi="Times New Roman" w:cs="Times New Roman"/>
          <w:sz w:val="28"/>
          <w:szCs w:val="28"/>
        </w:rPr>
        <w:t>2.4 The expedition of VAT refunds to domestic entrepreneurs within 15 days after filing the online form and within 45 days for physical form submission at the Revenue Department.</w:t>
      </w:r>
    </w:p>
    <w:p w14:paraId="3E7F9ABF" w14:textId="77777777" w:rsidR="00005FE6" w:rsidRPr="00C04780" w:rsidRDefault="00005FE6" w:rsidP="00F42907">
      <w:pPr>
        <w:tabs>
          <w:tab w:val="left" w:pos="270"/>
        </w:tabs>
        <w:ind w:left="180" w:right="308" w:firstLine="720"/>
        <w:jc w:val="both"/>
        <w:rPr>
          <w:rFonts w:ascii="Times New Roman" w:hAnsi="Times New Roman" w:cs="Times New Roman"/>
          <w:sz w:val="28"/>
          <w:szCs w:val="28"/>
        </w:rPr>
      </w:pPr>
    </w:p>
    <w:p w14:paraId="0C6CAAE8" w14:textId="77777777" w:rsidR="00F42907" w:rsidRPr="00C04780" w:rsidRDefault="00F42907" w:rsidP="00F42907">
      <w:pPr>
        <w:tabs>
          <w:tab w:val="left" w:pos="270"/>
        </w:tabs>
        <w:ind w:left="180" w:right="308"/>
        <w:jc w:val="both"/>
        <w:rPr>
          <w:rFonts w:ascii="Times New Roman" w:hAnsi="Times New Roman" w:cs="Times New Roman"/>
          <w:sz w:val="28"/>
          <w:szCs w:val="28"/>
        </w:rPr>
      </w:pPr>
      <w:r w:rsidRPr="00C04780">
        <w:rPr>
          <w:rFonts w:ascii="Times New Roman" w:hAnsi="Times New Roman" w:cs="Times New Roman"/>
          <w:sz w:val="28"/>
          <w:szCs w:val="28"/>
        </w:rPr>
        <w:lastRenderedPageBreak/>
        <w:t xml:space="preserve">3. </w:t>
      </w:r>
      <w:r w:rsidRPr="00C04780">
        <w:rPr>
          <w:rFonts w:ascii="Times New Roman" w:hAnsi="Times New Roman" w:cs="Times New Roman"/>
          <w:b/>
          <w:bCs/>
          <w:sz w:val="28"/>
          <w:szCs w:val="28"/>
          <w:u w:val="single"/>
        </w:rPr>
        <w:t>Capital Market Measures</w:t>
      </w:r>
    </w:p>
    <w:p w14:paraId="3FE52CA5" w14:textId="77777777" w:rsidR="00F42907" w:rsidRPr="00C04780" w:rsidRDefault="00F42907" w:rsidP="00F42907">
      <w:pPr>
        <w:tabs>
          <w:tab w:val="left" w:pos="270"/>
        </w:tabs>
        <w:ind w:left="180" w:right="308" w:firstLine="720"/>
        <w:jc w:val="both"/>
        <w:rPr>
          <w:rFonts w:ascii="Times New Roman" w:hAnsi="Times New Roman" w:cs="Times New Roman"/>
          <w:sz w:val="28"/>
          <w:szCs w:val="28"/>
        </w:rPr>
      </w:pPr>
      <w:r w:rsidRPr="00C04780">
        <w:rPr>
          <w:rFonts w:ascii="Times New Roman" w:hAnsi="Times New Roman" w:cs="Times New Roman"/>
          <w:sz w:val="28"/>
          <w:szCs w:val="28"/>
        </w:rPr>
        <w:t>The general public can deduct the purchasing investment units in SSF, which has a policy to invest in securities listed on the Stock Exchange of Thailand at least 65% of the net asset value but not over 200,000 Baht.</w:t>
      </w:r>
    </w:p>
    <w:p w14:paraId="55EE8FC8" w14:textId="77777777" w:rsidR="00F42907" w:rsidRPr="00C04780" w:rsidRDefault="00F42907" w:rsidP="00F42907">
      <w:pPr>
        <w:tabs>
          <w:tab w:val="left" w:pos="270"/>
        </w:tabs>
        <w:ind w:left="180" w:right="308"/>
        <w:jc w:val="both"/>
        <w:rPr>
          <w:rFonts w:ascii="Times New Roman" w:hAnsi="Times New Roman" w:cs="Times New Roman"/>
          <w:sz w:val="28"/>
          <w:szCs w:val="28"/>
        </w:rPr>
      </w:pPr>
      <w:r w:rsidRPr="00C04780">
        <w:rPr>
          <w:rFonts w:ascii="Times New Roman" w:hAnsi="Times New Roman" w:cs="Times New Roman"/>
          <w:sz w:val="28"/>
          <w:szCs w:val="28"/>
        </w:rPr>
        <w:t xml:space="preserve">4. </w:t>
      </w:r>
      <w:r w:rsidRPr="00C04780">
        <w:rPr>
          <w:rFonts w:ascii="Times New Roman" w:hAnsi="Times New Roman" w:cs="Times New Roman"/>
          <w:b/>
          <w:bCs/>
          <w:sz w:val="28"/>
          <w:szCs w:val="28"/>
          <w:u w:val="single"/>
        </w:rPr>
        <w:t>Other Measures</w:t>
      </w:r>
    </w:p>
    <w:p w14:paraId="3C0EBD54" w14:textId="77777777" w:rsidR="00F42907" w:rsidRPr="00C04780" w:rsidRDefault="00F42907" w:rsidP="00F42907">
      <w:pPr>
        <w:tabs>
          <w:tab w:val="left" w:pos="270"/>
        </w:tabs>
        <w:ind w:left="180" w:right="308" w:firstLine="720"/>
        <w:jc w:val="both"/>
        <w:rPr>
          <w:rFonts w:ascii="Times New Roman" w:hAnsi="Times New Roman" w:cs="Times New Roman"/>
          <w:sz w:val="28"/>
          <w:szCs w:val="28"/>
        </w:rPr>
      </w:pPr>
      <w:r w:rsidRPr="00C04780">
        <w:rPr>
          <w:rFonts w:ascii="Times New Roman" w:hAnsi="Times New Roman" w:cs="Times New Roman"/>
          <w:sz w:val="28"/>
          <w:szCs w:val="28"/>
        </w:rPr>
        <w:t>4.1 Refund</w:t>
      </w:r>
      <w:r>
        <w:rPr>
          <w:rFonts w:ascii="Times New Roman" w:hAnsi="Times New Roman" w:cs="Times New Roman"/>
          <w:sz w:val="28"/>
          <w:szCs w:val="28"/>
        </w:rPr>
        <w:t>ing</w:t>
      </w:r>
      <w:r w:rsidRPr="00C04780">
        <w:rPr>
          <w:rFonts w:ascii="Times New Roman" w:hAnsi="Times New Roman" w:cs="Times New Roman"/>
          <w:sz w:val="28"/>
          <w:szCs w:val="28"/>
        </w:rPr>
        <w:t xml:space="preserve"> </w:t>
      </w:r>
      <w:r>
        <w:rPr>
          <w:rFonts w:ascii="Times New Roman" w:hAnsi="Times New Roman" w:cs="Times New Roman"/>
          <w:sz w:val="28"/>
          <w:szCs w:val="28"/>
        </w:rPr>
        <w:t>of electricity meter deposits</w:t>
      </w:r>
      <w:r w:rsidRPr="00C04780">
        <w:rPr>
          <w:rFonts w:ascii="Times New Roman" w:hAnsi="Times New Roman" w:cs="Times New Roman"/>
          <w:sz w:val="28"/>
          <w:szCs w:val="28"/>
          <w:rtl/>
          <w:cs/>
        </w:rPr>
        <w:t xml:space="preserve"> </w:t>
      </w:r>
      <w:r w:rsidRPr="00C04780">
        <w:rPr>
          <w:rFonts w:ascii="Times New Roman" w:hAnsi="Times New Roman" w:cs="Times New Roman"/>
          <w:sz w:val="28"/>
          <w:szCs w:val="28"/>
        </w:rPr>
        <w:t>for businesses affected by the outbreak.</w:t>
      </w:r>
    </w:p>
    <w:p w14:paraId="1C8218E8" w14:textId="77777777" w:rsidR="00F42907" w:rsidRPr="00C04780" w:rsidRDefault="00F42907" w:rsidP="00F42907">
      <w:pPr>
        <w:tabs>
          <w:tab w:val="left" w:pos="270"/>
        </w:tabs>
        <w:ind w:left="180" w:right="308" w:firstLine="720"/>
        <w:jc w:val="both"/>
        <w:rPr>
          <w:rFonts w:ascii="Times New Roman" w:hAnsi="Times New Roman" w:cs="Times New Roman"/>
          <w:sz w:val="28"/>
          <w:szCs w:val="28"/>
        </w:rPr>
      </w:pPr>
      <w:r w:rsidRPr="00C04780">
        <w:rPr>
          <w:rFonts w:ascii="Times New Roman" w:hAnsi="Times New Roman" w:cs="Times New Roman"/>
          <w:sz w:val="28"/>
          <w:szCs w:val="28"/>
        </w:rPr>
        <w:t>4.2 Government agencies to reduce rental fees for state properties.</w:t>
      </w:r>
    </w:p>
    <w:p w14:paraId="46024A82" w14:textId="77777777" w:rsidR="00F42907" w:rsidRPr="00C04780" w:rsidRDefault="00F42907" w:rsidP="00F42907">
      <w:pPr>
        <w:tabs>
          <w:tab w:val="left" w:pos="270"/>
        </w:tabs>
        <w:ind w:left="180" w:right="308" w:firstLine="720"/>
        <w:jc w:val="both"/>
        <w:rPr>
          <w:rFonts w:ascii="Times New Roman" w:hAnsi="Times New Roman" w:cs="Times New Roman"/>
          <w:sz w:val="28"/>
          <w:szCs w:val="28"/>
          <w:rtl/>
          <w:cs/>
        </w:rPr>
      </w:pPr>
      <w:r w:rsidRPr="00C04780">
        <w:rPr>
          <w:rFonts w:ascii="Times New Roman" w:hAnsi="Times New Roman" w:cs="Times New Roman"/>
          <w:sz w:val="28"/>
          <w:szCs w:val="28"/>
        </w:rPr>
        <w:t xml:space="preserve">Overall, these measures are expected to create a circulation of 400,000 million Baht in the Thai economy. Additionally, the government has allocated 20,000 million Baht for an emergency fund to provide financial assistance to those who are impacted by the outbreak. </w:t>
      </w:r>
    </w:p>
    <w:p w14:paraId="60F128FA" w14:textId="77777777" w:rsidR="00F42907" w:rsidRPr="00C04780" w:rsidRDefault="00F42907" w:rsidP="00F42907">
      <w:pPr>
        <w:tabs>
          <w:tab w:val="left" w:pos="270"/>
        </w:tabs>
        <w:ind w:left="180" w:right="308" w:firstLine="720"/>
        <w:jc w:val="center"/>
        <w:rPr>
          <w:rFonts w:ascii="Times New Roman" w:hAnsi="Times New Roman" w:cs="Times New Roman"/>
          <w:sz w:val="28"/>
          <w:szCs w:val="28"/>
        </w:rPr>
      </w:pPr>
      <w:r w:rsidRPr="00C04780">
        <w:rPr>
          <w:rFonts w:ascii="Times New Roman" w:hAnsi="Times New Roman" w:cs="Times New Roman"/>
          <w:sz w:val="28"/>
          <w:szCs w:val="28"/>
        </w:rPr>
        <w:t>***************************</w:t>
      </w:r>
    </w:p>
    <w:p w14:paraId="1EBDF12A" w14:textId="77777777" w:rsidR="00F42907" w:rsidRPr="00C04780" w:rsidRDefault="00F42907" w:rsidP="00F42907">
      <w:pPr>
        <w:tabs>
          <w:tab w:val="left" w:pos="270"/>
        </w:tabs>
        <w:spacing w:after="0" w:line="240" w:lineRule="auto"/>
        <w:ind w:left="187" w:right="302" w:firstLine="720"/>
        <w:jc w:val="right"/>
        <w:rPr>
          <w:rFonts w:ascii="Times New Roman" w:hAnsi="Times New Roman" w:cs="Times New Roman"/>
          <w:sz w:val="28"/>
          <w:szCs w:val="28"/>
        </w:rPr>
      </w:pPr>
      <w:r w:rsidRPr="00C04780">
        <w:rPr>
          <w:rFonts w:ascii="Times New Roman" w:hAnsi="Times New Roman" w:cs="Times New Roman"/>
          <w:sz w:val="28"/>
          <w:szCs w:val="28"/>
        </w:rPr>
        <w:t>Division of Economic Division</w:t>
      </w:r>
    </w:p>
    <w:p w14:paraId="77D992C6" w14:textId="77777777" w:rsidR="00F42907" w:rsidRPr="00C04780" w:rsidRDefault="00F42907" w:rsidP="00F42907">
      <w:pPr>
        <w:tabs>
          <w:tab w:val="left" w:pos="270"/>
        </w:tabs>
        <w:spacing w:after="0" w:line="240" w:lineRule="auto"/>
        <w:ind w:left="187" w:right="302" w:firstLine="720"/>
        <w:jc w:val="right"/>
        <w:rPr>
          <w:rFonts w:ascii="Times New Roman" w:hAnsi="Times New Roman" w:cs="Times New Roman"/>
          <w:sz w:val="28"/>
          <w:szCs w:val="28"/>
        </w:rPr>
      </w:pPr>
      <w:r w:rsidRPr="00C04780">
        <w:rPr>
          <w:rFonts w:ascii="Times New Roman" w:hAnsi="Times New Roman" w:cs="Times New Roman"/>
          <w:sz w:val="28"/>
          <w:szCs w:val="28"/>
        </w:rPr>
        <w:t>Department of International Economic Affairs</w:t>
      </w:r>
    </w:p>
    <w:p w14:paraId="70E0B0CF" w14:textId="77777777" w:rsidR="00F42907" w:rsidRPr="00C04780" w:rsidRDefault="00F42907" w:rsidP="00F42907">
      <w:pPr>
        <w:tabs>
          <w:tab w:val="left" w:pos="270"/>
        </w:tabs>
        <w:spacing w:after="0" w:line="240" w:lineRule="auto"/>
        <w:ind w:left="187" w:right="302" w:firstLine="720"/>
        <w:jc w:val="right"/>
        <w:rPr>
          <w:rFonts w:ascii="Times New Roman" w:eastAsia="Cordia New" w:hAnsi="Times New Roman" w:cs="Times New Roman"/>
          <w:sz w:val="28"/>
          <w:szCs w:val="28"/>
          <w:lang w:eastAsia="th-TH"/>
        </w:rPr>
      </w:pPr>
      <w:r w:rsidRPr="00C04780">
        <w:rPr>
          <w:rFonts w:ascii="Times New Roman" w:hAnsi="Times New Roman" w:cs="Times New Roman"/>
          <w:sz w:val="28"/>
          <w:szCs w:val="28"/>
        </w:rPr>
        <w:t>March 2020</w:t>
      </w:r>
    </w:p>
    <w:bookmarkEnd w:id="0"/>
    <w:p w14:paraId="76EBF134" w14:textId="77777777" w:rsidR="00BE2D66" w:rsidRDefault="00BE2D66"/>
    <w:p w14:paraId="54914968" w14:textId="77777777" w:rsidR="0092419E" w:rsidRDefault="0092419E"/>
    <w:p w14:paraId="64B9FBD0" w14:textId="77777777" w:rsidR="00F42907" w:rsidRDefault="00F42907"/>
    <w:p w14:paraId="4DFE3D05" w14:textId="77777777" w:rsidR="00F42907" w:rsidRDefault="00F42907"/>
    <w:p w14:paraId="2D77B638" w14:textId="77777777" w:rsidR="00F42907" w:rsidRDefault="00F42907"/>
    <w:p w14:paraId="64964E2B" w14:textId="77777777" w:rsidR="00F42907" w:rsidRDefault="00F42907"/>
    <w:p w14:paraId="7541C0ED" w14:textId="77777777" w:rsidR="00F42907" w:rsidRDefault="00F42907"/>
    <w:p w14:paraId="76934738" w14:textId="77777777" w:rsidR="00F42907" w:rsidRDefault="00F42907"/>
    <w:p w14:paraId="0B202AC1" w14:textId="77777777" w:rsidR="00F42907" w:rsidRDefault="00F42907"/>
    <w:p w14:paraId="6C14E7E1" w14:textId="5DC1012A" w:rsidR="00F42907" w:rsidRDefault="00F42907">
      <w:pPr>
        <w:rPr>
          <w:rFonts w:hint="cs"/>
          <w:cs/>
          <w:lang w:bidi="th-TH"/>
        </w:rPr>
      </w:pPr>
      <w:bookmarkStart w:id="1" w:name="_GoBack"/>
      <w:bookmarkEnd w:id="1"/>
    </w:p>
    <w:sectPr w:rsidR="00F42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altName w:val="TH SarabunPSK"/>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9E"/>
    <w:rsid w:val="00005FE6"/>
    <w:rsid w:val="00095F7D"/>
    <w:rsid w:val="00371840"/>
    <w:rsid w:val="003F140D"/>
    <w:rsid w:val="005F4532"/>
    <w:rsid w:val="00801A7F"/>
    <w:rsid w:val="00817E15"/>
    <w:rsid w:val="0092419E"/>
    <w:rsid w:val="00A518F8"/>
    <w:rsid w:val="00A72F89"/>
    <w:rsid w:val="00BE2D66"/>
    <w:rsid w:val="00C07479"/>
    <w:rsid w:val="00E05AF1"/>
    <w:rsid w:val="00F12390"/>
    <w:rsid w:val="00F429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EB05"/>
  <w15:chartTrackingRefBased/>
  <w15:docId w15:val="{773A8D11-BBF5-442F-A672-B2761117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SarabunPSK" w:eastAsiaTheme="minorHAnsi" w:hAnsi="TH SarabunPSK" w:cs="TH SarabunPSK"/>
        <w:sz w:val="3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Yanisa Thanomrod</dc:creator>
  <cp:keywords/>
  <dc:description/>
  <cp:lastModifiedBy>yanisat</cp:lastModifiedBy>
  <cp:revision>2</cp:revision>
  <dcterms:created xsi:type="dcterms:W3CDTF">2020-04-10T11:29:00Z</dcterms:created>
  <dcterms:modified xsi:type="dcterms:W3CDTF">2020-04-10T11:29:00Z</dcterms:modified>
</cp:coreProperties>
</file>